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exact"/>
        <w:ind w:firstLine="4204" w:firstLineChars="1400"/>
        <w:contextualSpacing/>
        <w:jc w:val="both"/>
        <w:rPr>
          <w:rFonts w:hint="eastAsia" w:ascii="华文中宋" w:hAnsi="华文中宋" w:eastAsia="华文中宋" w:cs="宋体"/>
          <w:b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0"/>
          <w:szCs w:val="30"/>
        </w:rPr>
        <w:t>公司简介</w:t>
      </w:r>
    </w:p>
    <w:p>
      <w:pPr>
        <w:ind w:firstLine="440" w:firstLineChars="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安徽泰乐玛科技有限公司始建于2014年，总部坐落在安徽省宣城市经济技术开发区，占地面积</w:t>
      </w:r>
      <w:r>
        <w:rPr>
          <w:rFonts w:hint="eastAsia"/>
          <w:sz w:val="22"/>
          <w:szCs w:val="28"/>
          <w:lang w:val="en-US" w:eastAsia="zh-CN"/>
        </w:rPr>
        <w:t>约8万平方米，</w:t>
      </w:r>
      <w:r>
        <w:rPr>
          <w:rFonts w:hint="eastAsia"/>
          <w:sz w:val="22"/>
          <w:szCs w:val="28"/>
        </w:rPr>
        <w:t>注册资金5000万元。现有员工300多人,其中研发及</w:t>
      </w:r>
      <w:r>
        <w:rPr>
          <w:rFonts w:hint="eastAsia"/>
          <w:sz w:val="22"/>
          <w:szCs w:val="28"/>
          <w:lang w:val="en-US" w:eastAsia="zh-CN"/>
        </w:rPr>
        <w:t>核心</w:t>
      </w:r>
      <w:r>
        <w:rPr>
          <w:rFonts w:hint="eastAsia"/>
          <w:sz w:val="22"/>
          <w:szCs w:val="28"/>
        </w:rPr>
        <w:t>技术</w:t>
      </w:r>
      <w:r>
        <w:rPr>
          <w:rFonts w:hint="eastAsia"/>
          <w:sz w:val="22"/>
          <w:szCs w:val="28"/>
          <w:lang w:val="en-US" w:eastAsia="zh-CN"/>
        </w:rPr>
        <w:t>团队</w:t>
      </w:r>
      <w:r>
        <w:rPr>
          <w:rFonts w:hint="eastAsia"/>
          <w:sz w:val="22"/>
          <w:szCs w:val="28"/>
        </w:rPr>
        <w:t>50余人</w:t>
      </w:r>
      <w:r>
        <w:rPr>
          <w:rFonts w:hint="eastAsia"/>
          <w:sz w:val="22"/>
          <w:szCs w:val="28"/>
          <w:lang w:eastAsia="zh-CN"/>
        </w:rPr>
        <w:t>；</w:t>
      </w:r>
      <w:r>
        <w:rPr>
          <w:rFonts w:hint="eastAsia"/>
          <w:sz w:val="22"/>
          <w:szCs w:val="28"/>
        </w:rPr>
        <w:t>公司</w:t>
      </w:r>
      <w:r>
        <w:rPr>
          <w:rFonts w:hint="eastAsia"/>
          <w:sz w:val="22"/>
          <w:szCs w:val="28"/>
          <w:lang w:val="en-US" w:eastAsia="zh-CN"/>
        </w:rPr>
        <w:t>已通过并全面执行</w:t>
      </w:r>
      <w:r>
        <w:rPr>
          <w:rFonts w:hint="eastAsia"/>
          <w:sz w:val="22"/>
          <w:szCs w:val="28"/>
        </w:rPr>
        <w:t>ISO9000、IATF16949、ISO14000</w:t>
      </w:r>
      <w:r>
        <w:rPr>
          <w:rFonts w:hint="eastAsia"/>
          <w:sz w:val="22"/>
          <w:szCs w:val="28"/>
          <w:lang w:eastAsia="zh-CN"/>
        </w:rPr>
        <w:t>、</w:t>
      </w:r>
      <w:r>
        <w:rPr>
          <w:rFonts w:hint="eastAsia"/>
          <w:sz w:val="22"/>
          <w:szCs w:val="28"/>
        </w:rPr>
        <w:t>OHSAS18000</w:t>
      </w:r>
      <w:r>
        <w:rPr>
          <w:rFonts w:hint="eastAsia"/>
          <w:sz w:val="22"/>
          <w:szCs w:val="28"/>
          <w:lang w:val="en-US" w:eastAsia="zh-CN"/>
        </w:rPr>
        <w:t>等</w:t>
      </w:r>
      <w:r>
        <w:rPr>
          <w:rFonts w:hint="eastAsia"/>
          <w:sz w:val="22"/>
          <w:szCs w:val="28"/>
        </w:rPr>
        <w:t>管理体系。</w:t>
      </w:r>
    </w:p>
    <w:p>
      <w:pPr>
        <w:ind w:firstLine="440" w:firstLineChars="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  <w:lang w:val="en-US" w:eastAsia="zh-CN"/>
        </w:rPr>
        <w:t>公司</w:t>
      </w:r>
      <w:r>
        <w:rPr>
          <w:rFonts w:hint="eastAsia"/>
          <w:sz w:val="22"/>
          <w:szCs w:val="28"/>
        </w:rPr>
        <w:t>整合安徽宣城市、天津市、杭州市三大制造产业基地</w:t>
      </w:r>
      <w:r>
        <w:rPr>
          <w:rFonts w:hint="eastAsia"/>
          <w:sz w:val="22"/>
          <w:szCs w:val="28"/>
          <w:lang w:eastAsia="zh-CN"/>
        </w:rPr>
        <w:t>、</w:t>
      </w:r>
      <w:r>
        <w:rPr>
          <w:rFonts w:hint="eastAsia"/>
          <w:sz w:val="22"/>
          <w:szCs w:val="28"/>
          <w:lang w:val="en-US" w:eastAsia="zh-CN"/>
        </w:rPr>
        <w:t>紧跟世界前沿技术</w:t>
      </w:r>
      <w:r>
        <w:rPr>
          <w:rFonts w:hint="eastAsia"/>
          <w:sz w:val="22"/>
          <w:szCs w:val="28"/>
        </w:rPr>
        <w:t>与上海、法国、美国、英国等泰乐玛子公司共享技术及市场信息，围绕交通、环保、新能源等三大核心产业，</w:t>
      </w:r>
      <w:r>
        <w:rPr>
          <w:rFonts w:hint="eastAsia"/>
          <w:sz w:val="22"/>
          <w:szCs w:val="28"/>
          <w:lang w:val="en-US" w:eastAsia="zh-CN"/>
        </w:rPr>
        <w:t>集研发、制造</w:t>
      </w:r>
      <w:r>
        <w:rPr>
          <w:rFonts w:hint="eastAsia"/>
          <w:sz w:val="22"/>
          <w:szCs w:val="28"/>
          <w:lang w:eastAsia="zh-CN"/>
        </w:rPr>
        <w:t>、</w:t>
      </w:r>
      <w:r>
        <w:rPr>
          <w:rFonts w:hint="eastAsia"/>
          <w:sz w:val="22"/>
          <w:szCs w:val="28"/>
          <w:lang w:val="en-US" w:eastAsia="zh-CN"/>
        </w:rPr>
        <w:t>销售为一体、</w:t>
      </w:r>
      <w:r>
        <w:rPr>
          <w:rFonts w:hint="eastAsia"/>
          <w:sz w:val="22"/>
          <w:szCs w:val="28"/>
        </w:rPr>
        <w:t>专注于玻纤、碳纤等高性能新型复合材料研制</w:t>
      </w:r>
      <w:r>
        <w:rPr>
          <w:rFonts w:hint="eastAsia"/>
          <w:sz w:val="22"/>
          <w:szCs w:val="28"/>
          <w:lang w:val="en-US" w:eastAsia="zh-CN"/>
        </w:rPr>
        <w:t>的高新技术企业</w:t>
      </w:r>
      <w:r>
        <w:rPr>
          <w:rFonts w:hint="eastAsia"/>
          <w:sz w:val="22"/>
          <w:szCs w:val="28"/>
          <w:lang w:eastAsia="zh-CN"/>
        </w:rPr>
        <w:t>；</w:t>
      </w:r>
      <w:r>
        <w:rPr>
          <w:rFonts w:hint="eastAsia"/>
          <w:sz w:val="22"/>
          <w:szCs w:val="28"/>
        </w:rPr>
        <w:t>迄今已获得多项国内外技术发明专利和设计专利</w:t>
      </w:r>
      <w:r>
        <w:rPr>
          <w:rFonts w:hint="eastAsia"/>
          <w:sz w:val="22"/>
          <w:szCs w:val="28"/>
          <w:lang w:eastAsia="zh-CN"/>
        </w:rPr>
        <w:t>，</w:t>
      </w:r>
      <w:r>
        <w:rPr>
          <w:rFonts w:hint="eastAsia"/>
          <w:sz w:val="22"/>
          <w:szCs w:val="28"/>
        </w:rPr>
        <w:t xml:space="preserve">公司坚持以客户为中心，源源不断地为市场提供卓越产品，持续为客户和社会创造价值。         </w:t>
      </w:r>
    </w:p>
    <w:p>
      <w:pPr>
        <w:ind w:firstLine="440" w:firstLineChars="200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</w:rPr>
        <w:t>公司与西安工业大学、合肥工业大学、安徽工程大学</w:t>
      </w:r>
      <w:r>
        <w:rPr>
          <w:rFonts w:hint="eastAsia"/>
          <w:sz w:val="22"/>
          <w:szCs w:val="28"/>
          <w:lang w:val="en-US" w:eastAsia="zh-CN"/>
        </w:rPr>
        <w:t>等高等院校</w:t>
      </w:r>
      <w:r>
        <w:rPr>
          <w:rFonts w:hint="eastAsia"/>
          <w:sz w:val="22"/>
          <w:szCs w:val="28"/>
        </w:rPr>
        <w:t>建立校企合作，荣获</w:t>
      </w:r>
      <w:r>
        <w:rPr>
          <w:rFonts w:hint="eastAsia"/>
          <w:sz w:val="22"/>
          <w:szCs w:val="28"/>
          <w:lang w:eastAsia="zh-CN"/>
        </w:rPr>
        <w:t>《</w:t>
      </w:r>
      <w:r>
        <w:rPr>
          <w:rFonts w:hint="eastAsia"/>
          <w:sz w:val="22"/>
          <w:szCs w:val="28"/>
        </w:rPr>
        <w:t>安徽省校企合作示范基地</w:t>
      </w:r>
      <w:r>
        <w:rPr>
          <w:rFonts w:hint="eastAsia"/>
          <w:sz w:val="22"/>
          <w:szCs w:val="28"/>
          <w:lang w:eastAsia="zh-CN"/>
        </w:rPr>
        <w:t>》；</w:t>
      </w:r>
      <w:r>
        <w:rPr>
          <w:rFonts w:hint="eastAsia"/>
          <w:sz w:val="22"/>
          <w:szCs w:val="28"/>
          <w:lang w:val="en-US" w:eastAsia="zh-CN"/>
        </w:rPr>
        <w:t>先后亦被当地政府及宣城市经济技术开发区评为《安徽省成长型小微企业》、《宣城市和谐劳动关系示范企业》；曾荣获《发展进步奖》、《建设速度奖》、《发展贡献奖》等荣誉</w:t>
      </w:r>
      <w:r>
        <w:rPr>
          <w:rFonts w:hint="eastAsia"/>
          <w:sz w:val="22"/>
          <w:szCs w:val="28"/>
        </w:rPr>
        <w:t>称号</w:t>
      </w:r>
      <w:r>
        <w:rPr>
          <w:rFonts w:hint="eastAsia"/>
          <w:sz w:val="22"/>
          <w:szCs w:val="28"/>
          <w:lang w:val="en-US" w:eastAsia="zh-CN"/>
        </w:rPr>
        <w:t>。</w:t>
      </w:r>
    </w:p>
    <w:p>
      <w:pPr>
        <w:ind w:firstLine="440" w:firstLineChars="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泰乐玛秉承“坚韧践诺、聚焦突破、传承创新、价值引领”的企业精神</w:t>
      </w:r>
      <w:r>
        <w:rPr>
          <w:rFonts w:hint="eastAsia"/>
          <w:sz w:val="22"/>
          <w:szCs w:val="28"/>
          <w:lang w:eastAsia="zh-CN"/>
        </w:rPr>
        <w:t>、“聚焦新材应用、助力风电交通”</w:t>
      </w:r>
      <w:r>
        <w:rPr>
          <w:rFonts w:hint="eastAsia"/>
          <w:sz w:val="22"/>
          <w:szCs w:val="28"/>
          <w:lang w:val="en-US" w:eastAsia="zh-CN"/>
        </w:rPr>
        <w:t>的企业</w:t>
      </w:r>
      <w:r>
        <w:rPr>
          <w:rFonts w:hint="eastAsia"/>
          <w:sz w:val="22"/>
          <w:szCs w:val="28"/>
        </w:rPr>
        <w:t>使命，充分发挥长三角经济圈区位优势，加快推进低碳绿色经济和产业转型升级。近年来，泰乐玛持续强化轻轨、地铁、动车、高铁、风电等核心优势项目，加大玻纤、碳纤等新型复合材料制品的迭代开发力度，接驳国家重大工程、高端装备、先进制造等战略性新兴产业。同时积极契入</w:t>
      </w:r>
      <w:r>
        <w:rPr>
          <w:rFonts w:hint="eastAsia"/>
          <w:sz w:val="22"/>
          <w:szCs w:val="28"/>
          <w:lang w:val="en-US" w:eastAsia="zh-CN"/>
        </w:rPr>
        <w:t>国防、</w:t>
      </w:r>
      <w:r>
        <w:rPr>
          <w:rFonts w:hint="eastAsia"/>
          <w:sz w:val="22"/>
          <w:szCs w:val="28"/>
        </w:rPr>
        <w:t>航空、航天及军民融合项目，正致力成为中国领先的高性能复合材料整体解决方案提供商。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公司</w:t>
      </w:r>
      <w:r>
        <w:rPr>
          <w:rFonts w:hint="eastAsia"/>
          <w:b/>
          <w:bCs/>
          <w:sz w:val="24"/>
          <w:szCs w:val="24"/>
          <w:lang w:val="en-US" w:eastAsia="zh-CN"/>
        </w:rPr>
        <w:t>产品</w:t>
      </w:r>
      <w:r>
        <w:rPr>
          <w:rFonts w:hint="eastAsia"/>
          <w:b/>
          <w:bCs/>
          <w:sz w:val="24"/>
          <w:szCs w:val="24"/>
          <w:lang w:eastAsia="zh-CN"/>
        </w:rPr>
        <w:t>代表作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24"/>
          <w:szCs w:val="24"/>
          <w:lang w:eastAsia="zh-CN"/>
        </w:rPr>
        <w:t>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356610" cy="3098165"/>
            <wp:effectExtent l="0" t="0" r="15240" b="6985"/>
            <wp:docPr id="2" name="图片 2" descr="933f55b53dfe7060f303f68577ad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3f55b53dfe7060f303f68577adc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170555" cy="3094355"/>
            <wp:effectExtent l="0" t="0" r="10795" b="10795"/>
            <wp:docPr id="3" name="图片 3" descr="cee525fde89bbe8a488cf918e247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e525fde89bbe8a488cf918e247e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双选会招聘职位：</w:t>
      </w:r>
      <w:bookmarkStart w:id="0" w:name="_GoBack"/>
      <w:bookmarkEnd w:id="0"/>
    </w:p>
    <w:tbl>
      <w:tblPr>
        <w:tblStyle w:val="3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75"/>
        <w:gridCol w:w="2012"/>
        <w:gridCol w:w="825"/>
        <w:gridCol w:w="1167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20" w:type="dxa"/>
          </w:tcPr>
          <w:p>
            <w:pPr>
              <w:spacing w:line="42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类别</w:t>
            </w:r>
          </w:p>
        </w:tc>
        <w:tc>
          <w:tcPr>
            <w:tcW w:w="1275" w:type="dxa"/>
          </w:tcPr>
          <w:p>
            <w:pPr>
              <w:spacing w:line="42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岗位</w:t>
            </w:r>
          </w:p>
        </w:tc>
        <w:tc>
          <w:tcPr>
            <w:tcW w:w="2012" w:type="dxa"/>
          </w:tcPr>
          <w:p>
            <w:pPr>
              <w:spacing w:line="42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专业</w:t>
            </w:r>
          </w:p>
        </w:tc>
        <w:tc>
          <w:tcPr>
            <w:tcW w:w="825" w:type="dxa"/>
          </w:tcPr>
          <w:p>
            <w:pPr>
              <w:spacing w:line="42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人数</w:t>
            </w:r>
          </w:p>
        </w:tc>
        <w:tc>
          <w:tcPr>
            <w:tcW w:w="1167" w:type="dxa"/>
          </w:tcPr>
          <w:p>
            <w:pPr>
              <w:spacing w:line="42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薪资</w:t>
            </w:r>
          </w:p>
        </w:tc>
        <w:tc>
          <w:tcPr>
            <w:tcW w:w="3583" w:type="dxa"/>
          </w:tcPr>
          <w:p>
            <w:pPr>
              <w:spacing w:line="42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文职类</w:t>
            </w:r>
          </w:p>
        </w:tc>
        <w:tc>
          <w:tcPr>
            <w:tcW w:w="1275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管理培训生</w:t>
            </w:r>
          </w:p>
        </w:tc>
        <w:tc>
          <w:tcPr>
            <w:tcW w:w="2012" w:type="dxa"/>
            <w:vMerge w:val="restart"/>
          </w:tcPr>
          <w:p>
            <w:pPr>
              <w:spacing w:line="420" w:lineRule="exact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经济学、管理学、营销学、会计/统计学等</w:t>
            </w:r>
          </w:p>
        </w:tc>
        <w:tc>
          <w:tcPr>
            <w:tcW w:w="825" w:type="dxa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5人</w:t>
            </w:r>
          </w:p>
        </w:tc>
        <w:tc>
          <w:tcPr>
            <w:tcW w:w="1167" w:type="dxa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3.5</w:t>
            </w:r>
            <w:r>
              <w:rPr>
                <w:rFonts w:hint="eastAsia"/>
                <w:sz w:val="20"/>
              </w:rPr>
              <w:t>K-6K</w:t>
            </w:r>
          </w:p>
        </w:tc>
        <w:tc>
          <w:tcPr>
            <w:tcW w:w="3583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20" w:type="dxa"/>
            <w:vMerge w:val="continue"/>
          </w:tcPr>
          <w:p>
            <w:pPr>
              <w:spacing w:line="42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spacing w:line="42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助理</w:t>
            </w:r>
          </w:p>
        </w:tc>
        <w:tc>
          <w:tcPr>
            <w:tcW w:w="2012" w:type="dxa"/>
            <w:vMerge w:val="continue"/>
          </w:tcPr>
          <w:p>
            <w:pPr>
              <w:spacing w:line="42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825" w:type="dxa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5人</w:t>
            </w:r>
          </w:p>
        </w:tc>
        <w:tc>
          <w:tcPr>
            <w:tcW w:w="1167" w:type="dxa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3.5</w:t>
            </w:r>
            <w:r>
              <w:rPr>
                <w:rFonts w:hint="eastAsia"/>
                <w:sz w:val="20"/>
              </w:rPr>
              <w:t>K-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K</w:t>
            </w:r>
          </w:p>
        </w:tc>
        <w:tc>
          <w:tcPr>
            <w:tcW w:w="3583" w:type="dxa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0" w:type="dxa"/>
            <w:vAlign w:val="center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技术</w:t>
            </w:r>
            <w:r>
              <w:rPr>
                <w:rFonts w:hint="eastAsia"/>
                <w:sz w:val="20"/>
              </w:rPr>
              <w:t>类</w:t>
            </w:r>
          </w:p>
        </w:tc>
        <w:tc>
          <w:tcPr>
            <w:tcW w:w="1275" w:type="dxa"/>
          </w:tcPr>
          <w:p>
            <w:pPr>
              <w:spacing w:line="420" w:lineRule="exact"/>
              <w:jc w:val="center"/>
              <w:rPr>
                <w:rFonts w:hint="eastAsia"/>
                <w:sz w:val="20"/>
                <w:lang w:val="en-US" w:eastAsia="zh-CN"/>
              </w:rPr>
            </w:pPr>
          </w:p>
          <w:p>
            <w:pPr>
              <w:spacing w:line="4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研发工程师</w:t>
            </w:r>
          </w:p>
        </w:tc>
        <w:tc>
          <w:tcPr>
            <w:tcW w:w="2012" w:type="dxa"/>
          </w:tcPr>
          <w:p>
            <w:pPr>
              <w:spacing w:line="4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材料工程、机械自动化、交通工程、航空航天工程、高分子、材料与工程等</w:t>
            </w:r>
          </w:p>
        </w:tc>
        <w:tc>
          <w:tcPr>
            <w:tcW w:w="825" w:type="dxa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10人</w:t>
            </w:r>
          </w:p>
        </w:tc>
        <w:tc>
          <w:tcPr>
            <w:tcW w:w="1167" w:type="dxa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4.5</w:t>
            </w:r>
            <w:r>
              <w:rPr>
                <w:rFonts w:hint="eastAsia"/>
                <w:sz w:val="20"/>
              </w:rPr>
              <w:t>K-</w:t>
            </w: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K</w:t>
            </w:r>
          </w:p>
        </w:tc>
        <w:tc>
          <w:tcPr>
            <w:tcW w:w="3583" w:type="dxa"/>
          </w:tcPr>
          <w:p>
            <w:pPr>
              <w:spacing w:line="4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应届毕业生</w:t>
            </w:r>
          </w:p>
        </w:tc>
      </w:tr>
    </w:tbl>
    <w:p>
      <w:pPr>
        <w:numPr>
          <w:ilvl w:val="0"/>
          <w:numId w:val="0"/>
        </w:numPr>
        <w:spacing w:line="440" w:lineRule="exact"/>
        <w:rPr>
          <w:rFonts w:hint="eastAsia" w:ascii="黑体" w:hAnsi="Wingdings" w:eastAsia="黑体"/>
          <w:b/>
          <w:bCs w:val="0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黑体" w:hAnsi="Wingdings" w:eastAsia="黑体"/>
          <w:b/>
          <w:bCs w:val="0"/>
          <w:color w:val="FF0000"/>
          <w:sz w:val="24"/>
          <w:szCs w:val="24"/>
          <w:u w:val="single"/>
          <w:lang w:val="en-US" w:eastAsia="zh-CN"/>
        </w:rPr>
        <w:t>福利/保障：</w:t>
      </w:r>
    </w:p>
    <w:p>
      <w:pPr>
        <w:numPr>
          <w:ilvl w:val="0"/>
          <w:numId w:val="0"/>
        </w:numPr>
        <w:spacing w:line="440" w:lineRule="exact"/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  <w:t>1.入职签订《劳动合同》。</w:t>
      </w:r>
    </w:p>
    <w:p>
      <w:pPr>
        <w:numPr>
          <w:ilvl w:val="0"/>
          <w:numId w:val="0"/>
        </w:numPr>
        <w:spacing w:line="440" w:lineRule="exact"/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  <w:t>2.综合薪资待遇：</w:t>
      </w:r>
      <w:r>
        <w:rPr>
          <w:rFonts w:hint="eastAsia" w:ascii="黑体" w:hAnsi="Wingdings" w:eastAsia="黑体"/>
          <w:bCs/>
          <w:color w:val="FF0000"/>
          <w:sz w:val="24"/>
          <w:szCs w:val="24"/>
          <w:u w:val="single"/>
          <w:lang w:val="en-US" w:eastAsia="zh-CN"/>
        </w:rPr>
        <w:t>3500</w:t>
      </w:r>
      <w:r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  <w:t>-12000（根据学历、专业、工种而定）。</w:t>
      </w:r>
    </w:p>
    <w:p>
      <w:pPr>
        <w:numPr>
          <w:ilvl w:val="0"/>
          <w:numId w:val="0"/>
        </w:numPr>
        <w:spacing w:line="440" w:lineRule="exact"/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  <w:t>3.每年享有两次调薪机会（200-1000+），根据学生求职意向及职业生涯设定晋升通道。</w:t>
      </w:r>
    </w:p>
    <w:p>
      <w:pPr>
        <w:numPr>
          <w:ilvl w:val="0"/>
          <w:numId w:val="0"/>
        </w:numPr>
        <w:spacing w:line="440" w:lineRule="exact"/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  <w:t>4.公司为员工提供食宿，花园式厂房、小区公寓宿舍，公司内有配套娱乐设施。</w:t>
      </w:r>
    </w:p>
    <w:p>
      <w:pPr>
        <w:numPr>
          <w:ilvl w:val="0"/>
          <w:numId w:val="0"/>
        </w:numPr>
        <w:spacing w:line="440" w:lineRule="exact"/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  <w:t>5.公司团队活动丰富多彩，节假日发放节日礼品或礼金。</w:t>
      </w:r>
    </w:p>
    <w:p>
      <w:pPr>
        <w:numPr>
          <w:ilvl w:val="0"/>
          <w:numId w:val="0"/>
        </w:numPr>
        <w:spacing w:line="440" w:lineRule="exact"/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Wingdings" w:eastAsia="黑体"/>
          <w:bCs/>
          <w:color w:val="000000"/>
          <w:sz w:val="24"/>
          <w:szCs w:val="24"/>
          <w:lang w:val="en-US" w:eastAsia="zh-CN"/>
        </w:rPr>
        <w:t>6.员工生日会/生日礼品。</w:t>
      </w:r>
    </w:p>
    <w:p>
      <w:pPr>
        <w:numPr>
          <w:ilvl w:val="0"/>
          <w:numId w:val="0"/>
        </w:numPr>
        <w:spacing w:line="440" w:lineRule="exact"/>
        <w:rPr>
          <w:rFonts w:hint="default" w:ascii="黑体" w:hAnsi="Wingdings" w:eastAsia="黑体"/>
          <w:bCs/>
          <w:color w:val="000000"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公司地址：</w:t>
      </w:r>
      <w:r>
        <w:rPr>
          <w:rFonts w:hint="eastAsia"/>
          <w:b/>
          <w:bCs/>
          <w:sz w:val="24"/>
          <w:szCs w:val="24"/>
          <w:lang w:val="en-US" w:eastAsia="zh-CN"/>
        </w:rPr>
        <w:t>安徽省宣城市宣州区经济技术开发区三棵树路33号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招聘专线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17356339211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联系人：刘小姐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113280" cy="2113280"/>
            <wp:effectExtent l="0" t="0" r="1270" b="1270"/>
            <wp:docPr id="1" name="图片 1" descr="9a421ca3033619b8945b3194979be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421ca3033619b8945b3194979be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063115" cy="2063115"/>
            <wp:effectExtent l="0" t="0" r="13335" b="13335"/>
            <wp:docPr id="6" name="图片 6" descr="21b643c92e6b240e5a6112ac7680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1b643c92e6b240e5a6112ac76801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泰乐玛公众号               泰乐玛招聘网站</w:t>
      </w:r>
    </w:p>
    <w:sectPr>
      <w:pgSz w:w="11906" w:h="16838"/>
      <w:pgMar w:top="703" w:right="782" w:bottom="703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FlNGZlYjlhYjk4ZDE4ZDRiZjhlNTRhYjY0YTcifQ=="/>
  </w:docVars>
  <w:rsids>
    <w:rsidRoot w:val="4C2F0C9F"/>
    <w:rsid w:val="04615487"/>
    <w:rsid w:val="102B7748"/>
    <w:rsid w:val="14437C12"/>
    <w:rsid w:val="1AB075C8"/>
    <w:rsid w:val="2C005E91"/>
    <w:rsid w:val="2F2F3850"/>
    <w:rsid w:val="320104B0"/>
    <w:rsid w:val="387B3944"/>
    <w:rsid w:val="394D2739"/>
    <w:rsid w:val="42426FCD"/>
    <w:rsid w:val="442A07BD"/>
    <w:rsid w:val="4550785F"/>
    <w:rsid w:val="4BCB5E26"/>
    <w:rsid w:val="4C2F0C9F"/>
    <w:rsid w:val="56CF01B5"/>
    <w:rsid w:val="573E5EF5"/>
    <w:rsid w:val="5D1D680C"/>
    <w:rsid w:val="65613E34"/>
    <w:rsid w:val="6BA80E07"/>
    <w:rsid w:val="6BF23A7B"/>
    <w:rsid w:val="6FDB0F21"/>
    <w:rsid w:val="734378C3"/>
    <w:rsid w:val="7774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2019-05-30T06:21:00Z</dcterms:created>
  <dc:creator>天使无忧1394623359</dc:creator>
  <cp:lastModifiedBy>汪</cp:lastModifiedBy>
  <dcterms:modified xsi:type="dcterms:W3CDTF">2023-03-15T01:04:06Z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04C26B2358CE4E139FE5AB654A430012</vt:lpwstr>
  </property>
</Properties>
</file>